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Innovative Communications 0  -  150,000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Find Your Precinct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Troy, MI</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graphics and imagery. Great use of incorporating a family-friendly movie that has multigenerational appeal to provide critical information about a voting change. Bravo in making this precinct change campaign memorable!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of 10,000 Flowers: Growing Community Engagement for Windsor's POCD</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Windsor, CT</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approach for engaging stakeholders in a planning process! "Summer of 10,000 Flowers" is very unique and seeded lots of interest by the community, especially with a parade float and photo contest. The Windsor communications team did an amazing job in having the whole community "stop and smell the flowers."</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Better Roads Ahead</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Cedar Rapids, IA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Through Better Roads Ahead, Cedar Rapids residents and businesses now have a much clearer understanding of the construction projects and what's happening with them. The messaging is clear and the new website and map make it much easier for the public to stay informed.</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Innovative Communications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ByeByeByeLawson</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Grand Prairie,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It's really fun to see a team put efforts into internal comms. This audience can often get forgotten! This is a really fun and engaging way to encourage change, and to get an 88% engagement rate of people excited about change is rare.</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Chatty Chatham: Zoning Schmoaning</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Chatham County, GA</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biggest win happened well before this campaign even started with the foresight of the hiring manager! It’s very impressive to have the full production pipeline managed by the internal team, which allowed this to be really thoughtfully executed with barely any budget. Well done!</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Cobb Library Shop: From Concept to Conversion | Engineering Georgia's 1st Multi-channel Library Shop</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campaign sets a new benchmark for municipal marketing! It proves that creative strategy and operational agility don’t take a major investment. I especially like the tactic of turning patrons into creative stakeholders with the contest. That took the results beyond engagement into advocacy.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