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Catalogs/Guides 0 - 100,000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Perry, Georgia Employee Onboarding Guide</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Perry, GA</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City of Perry demonstrated outstanding creative resourcefulness and excellent fiscal discipline with the development of their Employee Onboarding Guide. By leveraging 100% in-house design talent to consolidate disjointed departmental processes into a unified, visually engaging cultural blueprint, their Communications Office delivered a premium internal asset for a lean total footprint of just $700. Perry's workflow provides an exceptional model for how municipal teams can maximize existing software assets to build deep internal alignment and equip frontline staff to confidently serve as community brand ambassadors from day one.</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Award</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RAVE Review Magazine</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Avondale, AZ</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City of Avondale has delivered an absolute masterclass in data-driven municipal communications with RAVE Review Magazine. By leveraging 100% in-house talent to manage, design, and photograph a comprehensive 48-page publication for 15 city departments, they have set a gold standard for internal collaboration. Most importantly, their ironclad documentation of success—proving 830 direct program referrals and an 80% spike in community applications—provides undeniable proof that strategic print media, when executed with elite visual hierarchy and authentic local imagery, remains a powerful engine for real resident engagement.</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Timnath Parks &amp; Recreation Activity Guide</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Timnath, CO</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Town of Timnath has delivered a spectacular masterclass in community onboarding and explosive growth with their first-ever Parks &amp; Recreation Activity Guide. Operating without a dedicated marketing department, the recreation team demonstrated elite project ownership, leveraging freelance design support to build a gorgeous, professional brand asset from the ground up. Most importantly, their documentation of success sets an absolute gold standard for this category—proving an immediate registration surge and a staggering 262% year-over-year spike in program participation. Timnath has masterfully demonstrated how strategic print communications can instantly dismantle local competition, eliminate municipal anonymity, and convert passive residents into highly engaged community participants.</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Catalogs/Guides 100,000+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Little Steps, Big Beginnings: A Parent’s Guide to Head Start</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Adams County, CO</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the handbook's design. It's clean, easy to read, visually appealing, and stays consistent with the organization's branding. I also appreciate that it was translated into multiple languages, making it more accessible to a broader audience.</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Punta Gorda/Englewood Beach 2026 Visitor Guide</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Charlotte County, FL</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Really enjoyed how it was divided up into "sides," allowing them to have their own identity under the same brand. It also showed the diversity of activities available. Love the layout. So easy and fun to read!</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Summer Day Camp Guide</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Bellevue, WA</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It was great to see the scholarship and needs assistance increase after the information became more accessible. Really loved the layout of this and how detailed the guide was. Also love the translation component.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