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Other</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Westminster Parks, Recreation &amp; Libraries Sponsorship Opportunities Brochure</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Westminster, CO</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City of Westminster's 2026 Sponsorship Opportunities guide showcases how invested the city is in building a successful, sustainable community. Other municipalities should consider taking a page from the Westminster playbook as they seek to cultivate additional revenue streams, quality of life, and the partnerships that make a city a desirable place to live.</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Richie the Roach: Things That Don’t Belong in the Toilet</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Charlotte County, FL</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very creative way to solve the issue at hand. The illustrations are very well done and engaging. The budget involved is especially astounding, especially as this seems to include printing costs. At just over $1 per book, I am amazed at that production cost.</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Westfield Farmers Market Activity Booklet</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Westfield, IN</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like how there's a range of activities in your booklet, perfect for kids of different ages. This is really creative and fun! This is a well-conceived and well executed activity booklet. I also commend the City of Westfield for arranging for a sponsor to cover the production costs.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