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Economic Development</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MyHKY.com</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Hickory, NC</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Super cool and innovative. I feel like I've been to Hickory right on my computer screen... and now I want to go for real! Great job doing all of this in-house. Super cool and fiscally responsible? That's a win!</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Selling Palmdale in Minutes: The 2025 ICSC Retail Market Guide</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Palmdale, CA</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Palmdale transformed a simple market guide into a powerful economic development tool. Designed to stand out in one of the nation's most competitive retail recruitment environments, the guide combined compelling design with strategic storytelling to spark meaningful conversations, generate lasting business relationships, and help turn investment opportunities into real economic growth for the community.</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Anything but Plain</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Plainfield, IN</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Plainfield embraced its name in the most unexpected way, transforming it into one of the region's most memorable community brands. Through thoughtful research, bold creativity, and strategic storytelling, the "Anything But Plain" campaign challenged perceptions, inspired community pride, and positioned Plainfield as a vibrant destination for visitors, businesses, and future opportunity.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